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Стоматология терапевтическая - кейс 2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Стоматология терапевтическая | Записей: 1 | Кейс: 2 | Вопросов: 12</w:t>
      </w:r>
    </w:p>
    <w:p>
      <w:r>
        <w:br w:type="page"/>
      </w:r>
    </w:p>
    <w:p>
      <w:pPr>
        <w:pStyle w:val="Heading1"/>
      </w:pPr>
      <w:r>
        <w:t>Стоматология терапевтическая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Стоматология терапевтическая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 отделение терапевтической стоматологии обратилась пациентка 48 лет.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</w:t>
      </w:r>
    </w:p>
    <w:p>
      <w:pPr>
        <w:spacing w:after="58"/>
      </w:pPr>
      <w:r>
        <w:rPr>
          <w:b w:val="0"/>
          <w:i w:val="0"/>
        </w:rPr>
        <w:t>* кратковременные боли при приёме сладкой пищи, исчезающие сразу после устранения раздражителя,</w:t>
      </w:r>
    </w:p>
    <w:p>
      <w:pPr>
        <w:spacing w:after="58"/>
      </w:pPr>
      <w:r>
        <w:rPr>
          <w:b w:val="0"/>
          <w:i w:val="0"/>
        </w:rPr>
        <w:t>* застревание пищи на нижней челюсти справа.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Жалобы появились два месяца назад, впервые. К врачу-стоматологу не обращалась.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•</w:t>
        <w:tab/>
        <w:t>Работает учителем в начальной школе.</w:t>
      </w:r>
    </w:p>
    <w:p>
      <w:pPr>
        <w:spacing w:after="58"/>
      </w:pPr>
      <w:r>
        <w:rPr>
          <w:b w:val="0"/>
          <w:i w:val="0"/>
        </w:rPr>
        <w:t>•</w:t>
        <w:tab/>
        <w:t>Сопутствующие заболевания: хронический гайморит.</w:t>
      </w:r>
    </w:p>
    <w:p>
      <w:pPr>
        <w:spacing w:after="58"/>
      </w:pPr>
      <w:r>
        <w:rPr>
          <w:b w:val="0"/>
          <w:i w:val="0"/>
        </w:rPr>
        <w:t>•</w:t>
        <w:tab/>
        <w:t>Вредные привычки: отрицает.</w:t>
      </w:r>
    </w:p>
    <w:p>
      <w:pPr>
        <w:spacing w:after="58"/>
      </w:pPr>
      <w:r>
        <w:rPr>
          <w:b w:val="0"/>
          <w:i w:val="0"/>
        </w:rPr>
        <w:t>•</w:t>
        <w:tab/>
        <w:t>Аллергическая реакция на цитрусовые.</w:t>
      </w:r>
    </w:p>
    <w:p>
      <w:pPr>
        <w:spacing w:after="58"/>
      </w:pPr>
      <w:r>
        <w:rPr>
          <w:b w:val="0"/>
          <w:i w:val="0"/>
        </w:rPr>
        <w:t>•</w:t>
        <w:tab/>
        <w:t>Наличие инфекционных заболеваний (ВИЧ, сифилис, гепатит) отрицает.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*Внешний осмотр:*</w:t>
        <w:br/>
        <w:t>Конфигурация лица не изменена, регионарные лимфатические узлы не увеличены, безболезненные при пальпации.</w:t>
      </w:r>
    </w:p>
    <w:p>
      <w:pPr>
        <w:spacing w:after="58"/>
      </w:pPr>
      <w:r>
        <w:rPr>
          <w:b w:val="0"/>
          <w:i w:val="0"/>
        </w:rPr>
        <w:t>*Осмотр полости рта:*</w:t>
      </w:r>
    </w:p>
    <w:p>
      <w:pPr>
        <w:spacing w:after="58"/>
      </w:pPr>
      <w:r>
        <w:rPr>
          <w:b w:val="0"/>
          <w:i w:val="0"/>
        </w:rPr>
        <w:t>*Зубная формула*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682"/>
        <w:gridCol w:w="682"/>
        <w:gridCol w:w="682"/>
        <w:gridCol w:w="682"/>
        <w:gridCol w:w="682"/>
        <w:gridCol w:w="682"/>
        <w:gridCol w:w="682"/>
        <w:gridCol w:w="682"/>
        <w:gridCol w:w="682"/>
        <w:gridCol w:w="682"/>
        <w:gridCol w:w="682"/>
        <w:gridCol w:w="682"/>
        <w:gridCol w:w="682"/>
        <w:gridCol w:w="682"/>
        <w:gridCol w:w="682"/>
      </w:tblGrid>
      <w:tr>
        <w:tc>
          <w:tcPr>
            <w:tcW w:type="dxa" w:w="682"/>
          </w:tcPr>
          <w:p>
            <w:r>
              <w:rPr>
                <w:b/>
                <w:i w:val="0"/>
              </w:rPr>
              <w:t>===</w:t>
            </w:r>
          </w:p>
        </w:tc>
        <w:tc>
          <w:tcPr>
            <w:tcW w:type="dxa" w:w="682"/>
          </w:tcPr>
          <w:p>
            <w:r>
              <w:rPr>
                <w:b/>
                <w:i w:val="0"/>
              </w:rPr>
              <w:t>К</w:t>
            </w:r>
          </w:p>
        </w:tc>
        <w:tc>
          <w:tcPr>
            <w:tcW w:type="dxa" w:w="682"/>
          </w:tcPr>
          <w:p>
            <w:r>
              <w:rPr>
                <w:b/>
                <w:i w:val="0"/>
              </w:rPr>
              <w:t>К</w:t>
            </w:r>
          </w:p>
        </w:tc>
        <w:tc>
          <w:tcPr>
            <w:tcW w:type="dxa" w:w="682"/>
          </w:tcPr>
          <w:p>
            <w:r>
              <w:rPr>
                <w:b/>
                <w:i w:val="0"/>
              </w:rPr>
              <w:t>К</w:t>
            </w:r>
          </w:p>
        </w:tc>
        <w:tc>
          <w:tcPr>
            <w:tcW w:type="dxa" w:w="682"/>
          </w:tcPr>
          <w:p>
            <w:r>
              <w:rPr>
                <w:b/>
                <w:i w:val="0"/>
              </w:rPr>
              <w:t>К</w:t>
            </w:r>
          </w:p>
        </w:tc>
        <w:tc>
          <w:tcPr>
            <w:tcW w:type="dxa" w:w="682"/>
          </w:tcPr>
          <w:p/>
        </w:tc>
        <w:tc>
          <w:tcPr>
            <w:tcW w:type="dxa" w:w="682"/>
          </w:tcPr>
          <w:p/>
        </w:tc>
        <w:tc>
          <w:tcPr>
            <w:tcW w:type="dxa" w:w="682"/>
          </w:tcPr>
          <w:p/>
        </w:tc>
        <w:tc>
          <w:tcPr>
            <w:tcW w:type="dxa" w:w="682"/>
          </w:tcPr>
          <w:p/>
        </w:tc>
        <w:tc>
          <w:tcPr>
            <w:tcW w:type="dxa" w:w="682"/>
          </w:tcPr>
          <w:p/>
        </w:tc>
        <w:tc>
          <w:tcPr>
            <w:tcW w:type="dxa" w:w="682"/>
          </w:tcPr>
          <w:p/>
        </w:tc>
        <w:tc>
          <w:tcPr>
            <w:tcW w:type="dxa" w:w="682"/>
          </w:tcPr>
          <w:p>
            <w:r>
              <w:rPr>
                <w:b/>
                <w:i w:val="0"/>
              </w:rPr>
              <w:t>О</w:t>
            </w:r>
          </w:p>
        </w:tc>
        <w:tc>
          <w:tcPr>
            <w:tcW w:type="dxa" w:w="682"/>
          </w:tcPr>
          <w:p>
            <w:r>
              <w:rPr>
                <w:b/>
                <w:i w:val="0"/>
              </w:rPr>
              <w:t>С</w:t>
            </w:r>
          </w:p>
        </w:tc>
        <w:tc>
          <w:tcPr>
            <w:tcW w:type="dxa" w:w="682"/>
          </w:tcPr>
          <w:p>
            <w:r>
              <w:rPr>
                <w:b/>
                <w:i w:val="0"/>
              </w:rPr>
              <w:t>П</w:t>
            </w:r>
          </w:p>
        </w:tc>
        <w:tc>
          <w:tcPr>
            <w:tcW w:type="dxa" w:w="682"/>
          </w:tcPr>
          <w:p>
            <w:r>
              <w:rPr>
                <w:b/>
                <w:i w:val="0"/>
              </w:rPr>
              <w:t>С</w:t>
            </w:r>
          </w:p>
        </w:tc>
      </w:tr>
      <w:tr>
        <w:tc>
          <w:tcPr>
            <w:tcW w:type="dxa" w:w="682"/>
          </w:tcPr>
          <w:p>
            <w:r>
              <w:rPr>
                <w:b w:val="0"/>
                <w:i w:val="0"/>
              </w:rPr>
              <w:t>О</w:t>
            </w:r>
          </w:p>
        </w:tc>
        <w:tc>
          <w:tcPr>
            <w:tcW w:type="dxa" w:w="682"/>
          </w:tcPr>
          <w:p>
            <w:r>
              <w:rPr>
                <w:b w:val="0"/>
                <w:i w:val="0"/>
              </w:rPr>
              <w:t>1.8</w:t>
            </w:r>
          </w:p>
        </w:tc>
        <w:tc>
          <w:tcPr>
            <w:tcW w:type="dxa" w:w="682"/>
          </w:tcPr>
          <w:p>
            <w:r>
              <w:rPr>
                <w:b w:val="0"/>
                <w:i w:val="0"/>
              </w:rPr>
              <w:t>1.7</w:t>
            </w:r>
          </w:p>
        </w:tc>
        <w:tc>
          <w:tcPr>
            <w:tcW w:type="dxa" w:w="682"/>
          </w:tcPr>
          <w:p>
            <w:r>
              <w:rPr>
                <w:b w:val="0"/>
                <w:i w:val="0"/>
              </w:rPr>
              <w:t>1.6</w:t>
            </w:r>
          </w:p>
        </w:tc>
        <w:tc>
          <w:tcPr>
            <w:tcW w:type="dxa" w:w="682"/>
          </w:tcPr>
          <w:p>
            <w:r>
              <w:rPr>
                <w:b w:val="0"/>
                <w:i w:val="0"/>
              </w:rPr>
              <w:t>1.5</w:t>
            </w:r>
          </w:p>
        </w:tc>
        <w:tc>
          <w:tcPr>
            <w:tcW w:type="dxa" w:w="682"/>
          </w:tcPr>
          <w:p>
            <w:r>
              <w:rPr>
                <w:b w:val="0"/>
                <w:i w:val="0"/>
              </w:rPr>
              <w:t>1.4</w:t>
            </w:r>
          </w:p>
        </w:tc>
        <w:tc>
          <w:tcPr>
            <w:tcW w:type="dxa" w:w="682"/>
          </w:tcPr>
          <w:p>
            <w:r>
              <w:rPr>
                <w:b w:val="0"/>
                <w:i w:val="0"/>
              </w:rPr>
              <w:t>1.3</w:t>
            </w:r>
          </w:p>
        </w:tc>
        <w:tc>
          <w:tcPr>
            <w:tcW w:type="dxa" w:w="682"/>
          </w:tcPr>
          <w:p>
            <w:r>
              <w:rPr>
                <w:b w:val="0"/>
                <w:i w:val="0"/>
              </w:rPr>
              <w:t>1.2</w:t>
            </w:r>
          </w:p>
        </w:tc>
        <w:tc>
          <w:tcPr>
            <w:tcW w:type="dxa" w:w="682"/>
          </w:tcPr>
          <w:p>
            <w:r>
              <w:rPr>
                <w:b w:val="0"/>
                <w:i w:val="0"/>
              </w:rPr>
              <w:t>1.1</w:t>
            </w:r>
          </w:p>
        </w:tc>
        <w:tc>
          <w:tcPr>
            <w:tcW w:type="dxa" w:w="682"/>
          </w:tcPr>
          <w:p>
            <w:r>
              <w:rPr>
                <w:b w:val="0"/>
                <w:i w:val="0"/>
              </w:rPr>
              <w:t>2.1</w:t>
            </w:r>
          </w:p>
        </w:tc>
        <w:tc>
          <w:tcPr>
            <w:tcW w:type="dxa" w:w="682"/>
          </w:tcPr>
          <w:p>
            <w:r>
              <w:rPr>
                <w:b w:val="0"/>
                <w:i w:val="0"/>
              </w:rPr>
              <w:t>2.2</w:t>
            </w:r>
          </w:p>
        </w:tc>
        <w:tc>
          <w:tcPr>
            <w:tcW w:type="dxa" w:w="682"/>
          </w:tcPr>
          <w:p>
            <w:r>
              <w:rPr>
                <w:b w:val="0"/>
                <w:i w:val="0"/>
              </w:rPr>
              <w:t>2.3</w:t>
            </w:r>
          </w:p>
        </w:tc>
        <w:tc>
          <w:tcPr>
            <w:tcW w:type="dxa" w:w="682"/>
          </w:tcPr>
          <w:p>
            <w:r>
              <w:rPr>
                <w:b w:val="0"/>
                <w:i w:val="0"/>
              </w:rPr>
              <w:t>2.4</w:t>
            </w:r>
          </w:p>
        </w:tc>
        <w:tc>
          <w:tcPr>
            <w:tcW w:type="dxa" w:w="682"/>
          </w:tcPr>
          <w:p>
            <w:r>
              <w:rPr>
                <w:b w:val="0"/>
                <w:i w:val="0"/>
              </w:rPr>
              <w:t>2.5</w:t>
            </w:r>
          </w:p>
        </w:tc>
        <w:tc>
          <w:tcPr>
            <w:tcW w:type="dxa" w:w="682"/>
          </w:tcPr>
          <w:p>
            <w:r>
              <w:rPr>
                <w:b w:val="0"/>
                <w:i w:val="0"/>
              </w:rPr>
              <w:t>2.6|2.7</w:t>
            </w:r>
          </w:p>
        </w:tc>
      </w:tr>
      <w:tr>
        <w:tc>
          <w:tcPr>
            <w:tcW w:type="dxa" w:w="682"/>
          </w:tcPr>
          <w:p>
            <w:r>
              <w:rPr>
                <w:b w:val="0"/>
                <w:i w:val="0"/>
              </w:rPr>
              <w:t>2.8</w:t>
            </w:r>
          </w:p>
        </w:tc>
        <w:tc>
          <w:tcPr>
            <w:tcW w:type="dxa" w:w="682"/>
          </w:tcPr>
          <w:p>
            <w:r>
              <w:rPr>
                <w:b w:val="0"/>
                <w:i w:val="0"/>
              </w:rPr>
              <w:t>4.8|4.7</w:t>
            </w:r>
          </w:p>
        </w:tc>
        <w:tc>
          <w:tcPr>
            <w:tcW w:type="dxa" w:w="682"/>
          </w:tcPr>
          <w:p>
            <w:r>
              <w:rPr>
                <w:b w:val="0"/>
                <w:i w:val="0"/>
              </w:rPr>
              <w:t>4.6</w:t>
            </w:r>
          </w:p>
        </w:tc>
        <w:tc>
          <w:tcPr>
            <w:tcW w:type="dxa" w:w="682"/>
          </w:tcPr>
          <w:p>
            <w:r>
              <w:rPr>
                <w:b w:val="0"/>
                <w:i w:val="0"/>
              </w:rPr>
              <w:t>4.5</w:t>
            </w:r>
          </w:p>
        </w:tc>
        <w:tc>
          <w:tcPr>
            <w:tcW w:type="dxa" w:w="682"/>
          </w:tcPr>
          <w:p>
            <w:r>
              <w:rPr>
                <w:b w:val="0"/>
                <w:i w:val="0"/>
              </w:rPr>
              <w:t>4.4</w:t>
            </w:r>
          </w:p>
        </w:tc>
        <w:tc>
          <w:tcPr>
            <w:tcW w:type="dxa" w:w="682"/>
          </w:tcPr>
          <w:p>
            <w:r>
              <w:rPr>
                <w:b w:val="0"/>
                <w:i w:val="0"/>
              </w:rPr>
              <w:t>4.3</w:t>
            </w:r>
          </w:p>
        </w:tc>
        <w:tc>
          <w:tcPr>
            <w:tcW w:type="dxa" w:w="682"/>
          </w:tcPr>
          <w:p>
            <w:r>
              <w:rPr>
                <w:b w:val="0"/>
                <w:i w:val="0"/>
              </w:rPr>
              <w:t>4.2</w:t>
            </w:r>
          </w:p>
        </w:tc>
        <w:tc>
          <w:tcPr>
            <w:tcW w:type="dxa" w:w="682"/>
          </w:tcPr>
          <w:p>
            <w:r>
              <w:rPr>
                <w:b w:val="0"/>
                <w:i w:val="0"/>
              </w:rPr>
              <w:t>4.1</w:t>
            </w:r>
          </w:p>
        </w:tc>
        <w:tc>
          <w:tcPr>
            <w:tcW w:type="dxa" w:w="682"/>
          </w:tcPr>
          <w:p>
            <w:r>
              <w:rPr>
                <w:b w:val="0"/>
                <w:i w:val="0"/>
              </w:rPr>
              <w:t>3.1</w:t>
            </w:r>
          </w:p>
        </w:tc>
        <w:tc>
          <w:tcPr>
            <w:tcW w:type="dxa" w:w="682"/>
          </w:tcPr>
          <w:p>
            <w:r>
              <w:rPr>
                <w:b w:val="0"/>
                <w:i w:val="0"/>
              </w:rPr>
              <w:t>3.2</w:t>
            </w:r>
          </w:p>
        </w:tc>
        <w:tc>
          <w:tcPr>
            <w:tcW w:type="dxa" w:w="682"/>
          </w:tcPr>
          <w:p>
            <w:r>
              <w:rPr>
                <w:b w:val="0"/>
                <w:i w:val="0"/>
              </w:rPr>
              <w:t>3.3</w:t>
            </w:r>
          </w:p>
        </w:tc>
        <w:tc>
          <w:tcPr>
            <w:tcW w:type="dxa" w:w="682"/>
          </w:tcPr>
          <w:p>
            <w:r>
              <w:rPr>
                <w:b w:val="0"/>
                <w:i w:val="0"/>
              </w:rPr>
              <w:t>3.4</w:t>
            </w:r>
          </w:p>
        </w:tc>
        <w:tc>
          <w:tcPr>
            <w:tcW w:type="dxa" w:w="682"/>
          </w:tcPr>
          <w:p>
            <w:r>
              <w:rPr>
                <w:b w:val="0"/>
                <w:i w:val="0"/>
              </w:rPr>
              <w:t>3.5</w:t>
            </w:r>
          </w:p>
        </w:tc>
        <w:tc>
          <w:tcPr>
            <w:tcW w:type="dxa" w:w="682"/>
          </w:tcPr>
          <w:p>
            <w:r>
              <w:rPr>
                <w:b w:val="0"/>
                <w:i w:val="0"/>
              </w:rPr>
              <w:t>3.6</w:t>
            </w:r>
          </w:p>
        </w:tc>
        <w:tc>
          <w:tcPr>
            <w:tcW w:type="dxa" w:w="682"/>
          </w:tcPr>
          <w:p>
            <w:r>
              <w:rPr>
                <w:b w:val="0"/>
                <w:i w:val="0"/>
              </w:rPr>
              <w:t>3.7</w:t>
            </w:r>
          </w:p>
        </w:tc>
      </w:tr>
      <w:tr>
        <w:tc>
          <w:tcPr>
            <w:tcW w:type="dxa" w:w="682"/>
          </w:tcPr>
          <w:p>
            <w:r>
              <w:rPr>
                <w:b w:val="0"/>
                <w:i w:val="0"/>
              </w:rPr>
              <w:t>3.8</w:t>
            </w:r>
          </w:p>
        </w:tc>
        <w:tc>
          <w:tcPr>
            <w:tcW w:type="dxa" w:w="682"/>
          </w:tcPr>
          <w:p>
            <w:r>
              <w:rPr>
                <w:b w:val="0"/>
                <w:i w:val="0"/>
              </w:rPr>
              <w:t>О</w:t>
            </w:r>
          </w:p>
        </w:tc>
        <w:tc>
          <w:tcPr>
            <w:tcW w:type="dxa" w:w="682"/>
          </w:tcPr>
          <w:p>
            <w:r>
              <w:rPr>
                <w:b w:val="0"/>
                <w:i w:val="0"/>
              </w:rPr>
              <w:t>?</w:t>
            </w:r>
          </w:p>
        </w:tc>
        <w:tc>
          <w:tcPr>
            <w:tcW w:type="dxa" w:w="682"/>
          </w:tcPr>
          <w:p>
            <w:r>
              <w:rPr>
                <w:b w:val="0"/>
                <w:i w:val="0"/>
              </w:rPr>
              <w:t>П</w:t>
            </w:r>
          </w:p>
        </w:tc>
        <w:tc>
          <w:tcPr>
            <w:tcW w:type="dxa" w:w="682"/>
          </w:tcPr>
          <w:p>
            <w:r>
              <w:rPr>
                <w:b w:val="0"/>
                <w:i w:val="0"/>
              </w:rPr>
              <w:t>П</w:t>
            </w:r>
          </w:p>
        </w:tc>
        <w:tc>
          <w:tcPr>
            <w:tcW w:type="dxa" w:w="682"/>
          </w:tcPr>
          <w:p>
            <w:r>
              <w:rPr>
                <w:b w:val="0"/>
                <w:i w:val="0"/>
              </w:rPr>
              <w:t>П</w:t>
            </w:r>
          </w:p>
        </w:tc>
        <w:tc>
          <w:tcPr>
            <w:tcW w:type="dxa" w:w="682"/>
          </w:tcPr>
          <w:p/>
        </w:tc>
        <w:tc>
          <w:tcPr>
            <w:tcW w:type="dxa" w:w="682"/>
          </w:tcPr>
          <w:p/>
        </w:tc>
        <w:tc>
          <w:tcPr>
            <w:tcW w:type="dxa" w:w="682"/>
          </w:tcPr>
          <w:p/>
        </w:tc>
        <w:tc>
          <w:tcPr>
            <w:tcW w:type="dxa" w:w="682"/>
          </w:tcPr>
          <w:p/>
        </w:tc>
        <w:tc>
          <w:tcPr>
            <w:tcW w:type="dxa" w:w="682"/>
          </w:tcPr>
          <w:p/>
        </w:tc>
        <w:tc>
          <w:tcPr>
            <w:tcW w:type="dxa" w:w="682"/>
          </w:tcPr>
          <w:p/>
        </w:tc>
        <w:tc>
          <w:tcPr>
            <w:tcW w:type="dxa" w:w="682"/>
          </w:tcPr>
          <w:p>
            <w:r>
              <w:rPr>
                <w:b w:val="0"/>
                <w:i w:val="0"/>
              </w:rPr>
              <w:t>П</w:t>
            </w:r>
          </w:p>
        </w:tc>
        <w:tc>
          <w:tcPr>
            <w:tcW w:type="dxa" w:w="682"/>
          </w:tcPr>
          <w:p>
            <w:r>
              <w:rPr>
                <w:b w:val="0"/>
                <w:i w:val="0"/>
              </w:rPr>
              <w:t>П</w:t>
            </w:r>
          </w:p>
        </w:tc>
        <w:tc>
          <w:tcPr>
            <w:tcW w:type="dxa" w:w="682"/>
          </w:tcPr>
          <w:p>
            <w:r>
              <w:rPr>
                <w:b w:val="0"/>
                <w:i w:val="0"/>
              </w:rPr>
              <w:t>К|К|О</w:t>
            </w:r>
          </w:p>
        </w:tc>
      </w:tr>
    </w:tbl>
    <w:p/>
    <w:p>
      <w:pPr>
        <w:spacing w:after="58"/>
      </w:pPr>
      <w:r>
        <w:rPr>
          <w:b w:val="0"/>
          <w:i w:val="0"/>
        </w:rPr>
        <w:t>|===</w:t>
      </w:r>
    </w:p>
    <w:p>
      <w:pPr>
        <w:spacing w:after="58"/>
      </w:pPr>
      <w:r>
        <w:rPr>
          <w:b w:val="0"/>
          <w:i w:val="0"/>
        </w:rPr>
        <w:t>Состояние слизистой оболочки рта, десны, альвеолярных отростков и нёба: бледно-розовой окраски, достаточно увлажнена.</w:t>
      </w:r>
    </w:p>
    <w:p>
      <w:pPr>
        <w:spacing w:after="58"/>
      </w:pPr>
      <w:r>
        <w:rPr>
          <w:b w:val="0"/>
          <w:i w:val="0"/>
        </w:rPr>
        <w:t>*Прикус:* ортогнатический.</w:t>
      </w:r>
    </w:p>
    <w:p>
      <w:pPr>
        <w:spacing w:after="58"/>
      </w:pPr>
      <w:r>
        <w:rPr>
          <w:b w:val="0"/>
          <w:i w:val="0"/>
        </w:rPr>
        <w:t>*Локальный статус:*</w:t>
        <w:br/>
        <w:t>4.7 зуб – на дистальной контактной поверхности располагается неглубокая кариозная полость, заполненная размягчённым дентином; окклюзионный мезиальный эмалевый валик над полостью частично разрушен.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К необходимым для постановки диагноза в данной клинической ситуации  методам обследования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полярографию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перкуссию зубов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пальпацию по переходной складке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зондирование кариозных полостей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термодиагностику зуба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определение количества эритроцитов в клиническом анализе крови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перкуссию зубов; зондирование кариозных полостей; термодиагностику зуба</w:t>
      </w:r>
    </w:p>
    <w:p>
      <w:pPr>
        <w:ind w:left="504"/>
      </w:pPr>
      <w:r>
        <w:rPr>
          <w:b w:val="0"/>
          <w:i/>
        </w:rPr>
        <w:t>Перкуссия используется для исключения осложнений кариеса.</w:t>
        <w:br/>
        <w:br/>
        <w:t>Требования к диагностике амбулаторно-поликлинической: Перкуссия зубов (код услуги - А02.07.007); кратность выполнения – 1.</w:t>
        <w:br/>
        <w:br/>
      </w:r>
      <w:hyperlink r:id="rId9">
        <w:r>
          <w:rPr>
            <w:color w:val="0F766E"/>
            <w:u w:val="single"/>
          </w:rPr>
          <w:t>Клинические рекомендации (протоколы лечения) Совета Ассоциации общественных объединений «Стоматологическая Ассоциация России». Кариес зубов, 2018 г.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п.6.2.3. Требования к диагностике амбулаторно-поликлинической). п.6.2.4. Характеристика алгоритмов и особенностей выполнения диагностических мероприятий</w:t>
      </w:r>
    </w:p>
    <w:p>
      <w:pPr>
        <w:ind w:left="504"/>
      </w:pPr>
      <w:r>
        <w:rPr>
          <w:b w:val="0"/>
          <w:i/>
        </w:rPr>
        <w:t>Зондом определяют плотность твёрдых тканей, оценивают текстуру и степень однородности поверхности, а также болевую чувствительность. Обращают внимание на то, чтобы зондирование проводилось без сильного давления. Обращают внимание на наличие пятен на видимых поверхностях зубов, наличие пятен и их состояние после высушивания поверхности зубов, площадь, форму краев, текстуру поверхности, плотность, симметричность и множественность очагов поражения с целью установления степени выраженности заболевания и скорости развития процесса, динамики заболевания, а также дифференциальной диагностики с некариозными поражениями. При зондировании выявленной кариозной полости обращают внимание на её форму, локализацию, величину, глубину, наличие размягченного дентина, изменение его цвета, болезненность или наоборот отсутствие болевой чувствительности.</w:t>
        <w:br/>
        <w:br/>
        <w:t>Требования к диагностике амбулаторно-поликлинической: Исследование кариозных полостей с использованием стоматологического зонда (код услуги - А02.07.002); кратность выполнения – 1.</w:t>
        <w:br/>
        <w:br/>
      </w:r>
      <w:hyperlink r:id="rId9">
        <w:r>
          <w:rPr>
            <w:color w:val="0F766E"/>
            <w:u w:val="single"/>
          </w:rPr>
          <w:t>Клинические рекомендации (протоколы лечения) Совета Ассоциации общественных объединений «Стоматологическая Ассоциация России». Кариес зубов, 2018 г.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п.6.2.3. Требования к диагностике амбулаторно-поликлинической. п.6.2.4. Характеристика алгоритмов и особенностей выполнения диагностических мероприятий</w:t>
      </w:r>
    </w:p>
    <w:p>
      <w:pPr>
        <w:ind w:left="504"/>
      </w:pPr>
      <w:r>
        <w:rPr>
          <w:b w:val="0"/>
          <w:i/>
        </w:rPr>
        <w:t>Проводится термодиагностика.</w:t>
        <w:br/>
        <w:br/>
        <w:t>Требования к диагностике амбулаторно-поликлинической: Термодиагностика зуба (код услуги - А02.07.005); кратность выполнения – 1.</w:t>
        <w:br/>
        <w:br/>
      </w:r>
      <w:hyperlink r:id="rId9">
        <w:r>
          <w:rPr>
            <w:color w:val="0F766E"/>
            <w:u w:val="single"/>
          </w:rPr>
          <w:t>Клинические рекомендации (протоколы лечения) Совета Ассоциации общественных объединений «Стоматологическая Ассоциация России». Кариес зубов, 2018 г.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п.6.2.3. Требования к диагностике амбулаторно-поликлинической ; п. 6.2.4. Характеристика алгоритмов и особенностей выполнения диагностических мероприятий</w:t>
      </w:r>
    </w:p>
    <w:p>
      <w:pPr>
        <w:pStyle w:val="Heading2"/>
      </w:pPr>
      <w:r>
        <w:t>3. Результаты обследования</w:t>
      </w:r>
    </w:p>
    <w:p>
      <w:pPr>
        <w:pStyle w:val="Heading3"/>
      </w:pPr>
      <w:r>
        <w:t>3.1. Зондирование кариозных полостей</w:t>
      </w:r>
    </w:p>
    <w:p>
      <w:pPr>
        <w:spacing w:after="58"/>
      </w:pPr>
      <w:r>
        <w:rPr>
          <w:b w:val="0"/>
          <w:i w:val="0"/>
        </w:rPr>
        <w:t>Зондирование болезненно по эмалево-дентинной границе.</w:t>
      </w:r>
    </w:p>
    <w:p>
      <w:pPr>
        <w:pStyle w:val="Heading3"/>
      </w:pPr>
      <w:r>
        <w:t>3.2. Перкуссия зубов</w:t>
      </w:r>
    </w:p>
    <w:p>
      <w:pPr>
        <w:spacing w:after="58"/>
      </w:pPr>
      <w:r>
        <w:rPr>
          <w:b w:val="0"/>
          <w:i w:val="0"/>
        </w:rPr>
        <w:t>Вертикальная и горизонтальная перкуссия 4.7 зуба безболезненна.</w:t>
      </w:r>
    </w:p>
    <w:p>
      <w:pPr>
        <w:pStyle w:val="Heading3"/>
      </w:pPr>
      <w:r>
        <w:t>3.3. Термодиагностика зуба</w:t>
      </w:r>
    </w:p>
    <w:p>
      <w:pPr>
        <w:spacing w:after="58"/>
      </w:pPr>
      <w:r>
        <w:rPr>
          <w:b w:val="0"/>
          <w:i w:val="0"/>
        </w:rPr>
        <w:t>Болевая реакция 4.7 зуба на холодовой раздражитель выраженная, кратковременная, проходящая сразу после устранения раздражителя.</w:t>
      </w:r>
    </w:p>
    <w:p>
      <w:pPr>
        <w:pStyle w:val="Heading3"/>
      </w:pPr>
      <w:r>
        <w:t>3.4. Пальпация по переходной складке</w:t>
      </w:r>
    </w:p>
    <w:p>
      <w:pPr>
        <w:spacing w:after="58"/>
      </w:pPr>
      <w:r>
        <w:rPr>
          <w:b w:val="0"/>
          <w:i w:val="0"/>
        </w:rPr>
        <w:t>Данный метод обследования не включён в Требования к амбулаторно-поликлинической диагностике, не является обязательным для постановки диагноза.</w:t>
      </w:r>
    </w:p>
    <w:p>
      <w:pPr>
        <w:pStyle w:val="Heading3"/>
      </w:pPr>
      <w:r>
        <w:t>3.5. Полярография</w:t>
      </w:r>
    </w:p>
    <w:p>
      <w:pPr>
        <w:spacing w:after="58"/>
      </w:pPr>
      <w:r>
        <w:rPr>
          <w:b w:val="0"/>
          <w:i w:val="0"/>
        </w:rPr>
        <w:t>Исследование не имеет диагностического значения в данной клинической ситуации.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К дополнительным методам обследования для постановки диагноза в данной клинической ситуации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реопародонтографию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электроодонтометрию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эхоостеометрию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прицельную внутриротовую контактную рентгенографию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контрастную рентгенографию околоушной слюнной железы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электроодонтометрию; прицельную внутриротовую контактную рентгенографию</w:t>
      </w:r>
    </w:p>
    <w:p>
      <w:pPr>
        <w:ind w:left="504"/>
      </w:pPr>
      <w:r>
        <w:rPr>
          <w:b w:val="0"/>
          <w:i/>
        </w:rPr>
        <w:t>При проведении электроодонтометрии показатели чувствительности пульпы при кариесе дентина регистрируются в пределах от 2 до 10 мкА.</w:t>
        <w:br/>
        <w:br/>
        <w:t>Требования к диагностике амбулаторно-поликлинической: электроодонтометрия (код услуги - А05.07.001); кратность выполнения – по потребности.</w:t>
        <w:br/>
        <w:br/>
      </w:r>
      <w:hyperlink r:id="rId9">
        <w:r>
          <w:rPr>
            <w:color w:val="0F766E"/>
            <w:u w:val="single"/>
          </w:rPr>
          <w:t>Клинические рекомендации (протоколы лечения) Совета Ассоциации общественных объединений «Стоматологическая Ассоциация России». Кариес зубов, 2018 г.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п.6.2.3. Требования к диагностике амбулаторно-поликлинической; п.6.2.4. Характеристика алгоритмов и особенностей выполнения диагностических мероприятий</w:t>
      </w:r>
    </w:p>
    <w:p>
      <w:pPr>
        <w:ind w:left="504"/>
      </w:pPr>
      <w:r>
        <w:rPr>
          <w:b w:val="0"/>
          <w:i/>
        </w:rPr>
        <w:t>Для подтверждения диагноза при наличии полости на контактной поверхности и при отсутствии чувствительности пульпы проводят рентгенографию.</w:t>
        <w:br/>
        <w:br/>
        <w:t>Требования к диагностике амбулаторно-поликлинической: прицельная внутриротовая контактная рентгенография (код услуги - А06.07.003); кратность выполнения – по потребности).</w:t>
        <w:br/>
        <w:br/>
      </w:r>
      <w:hyperlink r:id="rId9">
        <w:r>
          <w:rPr>
            <w:color w:val="0F766E"/>
            <w:u w:val="single"/>
          </w:rPr>
          <w:t>Клинические рекомендации (протоколы лечения) Совета Ассоциации общественных объединений «Стоматологическая Ассоциация России». Кариес зубов, 2018 г.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п.6.2.3. Требования к диагностике амбулаторно-поликлинической; п.6.2.4. Характеристика алгоритмов и особенностей выполнения диагностических мероприятий</w:t>
      </w:r>
    </w:p>
    <w:p>
      <w:pPr>
        <w:pStyle w:val="Heading2"/>
      </w:pPr>
      <w:r>
        <w:t>5. Результаты дополнительных методов обследования</w:t>
      </w:r>
    </w:p>
    <w:p>
      <w:pPr>
        <w:pStyle w:val="Heading3"/>
      </w:pPr>
      <w:r>
        <w:t>5.1. Прицельная внутриротовая контактная рентгенография</w:t>
      </w:r>
    </w:p>
    <w:p>
      <w:pPr>
        <w:spacing w:after="58"/>
      </w:pPr>
      <w:r>
        <w:rPr>
          <w:b w:val="0"/>
          <w:i w:val="0"/>
        </w:rPr>
        <w:t>На рентгенограмме определяется кариозная полость на дистальной контактной поверхности, распространяющаяся в дентин, без сообщения с полостью пульпы зуба. Рентгенологических изменений со стороны верхушечного периодонта не определяется.</w:t>
      </w:r>
    </w:p>
    <w:p>
      <w:pPr>
        <w:pStyle w:val="Heading3"/>
      </w:pPr>
      <w:r>
        <w:t>5.2. Электроодонтометрия</w:t>
      </w:r>
    </w:p>
    <w:p>
      <w:pPr>
        <w:spacing w:after="58"/>
      </w:pPr>
      <w:r>
        <w:rPr>
          <w:b w:val="0"/>
          <w:i w:val="0"/>
        </w:rPr>
        <w:t>Показатель чувствительности пульпы при проведении электроодонтометрии 4.7 зуба – 8 мкА.</w:t>
      </w:r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Основным диагнозом пациентки  является +__________+ 4.7 зуба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Хронический периодонтит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Начальный пульпит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Кариес эмали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Кариес дентина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Кариес дентина</w:t>
      </w:r>
    </w:p>
    <w:p>
      <w:pPr>
        <w:ind w:left="504"/>
      </w:pPr>
      <w:r>
        <w:rPr>
          <w:b w:val="0"/>
          <w:i/>
        </w:rPr>
        <w:t>Условия задачи соответствуют критериям и признакам, определяющим модель пациента «кариес дентина».</w:t>
        <w:br/>
        <w:br/>
      </w:r>
      <w:hyperlink r:id="rId9">
        <w:r>
          <w:rPr>
            <w:color w:val="0F766E"/>
            <w:u w:val="single"/>
          </w:rPr>
          <w:t>Клинические рекомендации (протоколы лечения) Совета Ассоциации общественных объединений «Стоматологическая Ассоциация России». Кариес зубов, 2018 г.</w:t>
        </w:r>
      </w:hyperlink>
      <w:r>
        <w:rPr>
          <w:b w:val="0"/>
          <w:i/>
        </w:rPr>
        <w:br/>
        <w:br/>
      </w:r>
      <w:hyperlink r:id="rId13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п. 6.2 Модель пациента; п.6.2.1 Критерии и признаки, определяющие модель пациента</w:t>
      </w:r>
    </w:p>
    <w:p>
      <w:pPr>
        <w:pStyle w:val="Heading2"/>
      </w:pPr>
      <w:r>
        <w:t>7. Диагноз</w:t>
      </w:r>
    </w:p>
    <w:p>
      <w:pPr>
        <w:spacing w:after="58"/>
      </w:pPr>
      <w:r>
        <w:rPr>
          <w:b w:val="0"/>
          <w:i w:val="0"/>
        </w:rPr>
        <w:t>К02.1 Кариес дентина 4.7 зуба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Уточнённым диагнозом пациентки с учётом локализации полости является класс +__________+ по Блэку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II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III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IV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I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II</w:t>
      </w:r>
    </w:p>
    <w:p>
      <w:pPr>
        <w:ind w:left="504"/>
      </w:pPr>
      <w:r>
        <w:rPr>
          <w:b w:val="0"/>
          <w:i/>
        </w:rPr>
        <w:t>Условия задачи соответствуют определению: «Класс II - полости, расположенные на контактной поверхности моляров и премоляров».</w:t>
        <w:br/>
        <w:br/>
      </w:r>
      <w:hyperlink r:id="rId9">
        <w:r>
          <w:rPr>
            <w:color w:val="0F766E"/>
            <w:u w:val="single"/>
          </w:rPr>
          <w:t>Клинические рекомендации (протоколы лечения) Совета Ассоциации общественных объединений «Стоматологическая Ассоциация России». Кариес зубов, 2018 г.</w:t>
        </w:r>
      </w:hyperlink>
      <w:r>
        <w:rPr>
          <w:b w:val="0"/>
          <w:i/>
        </w:rPr>
        <w:br/>
        <w:br/>
      </w:r>
      <w:hyperlink r:id="rId14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{nbsp}V. Общие вопросы: Модифицированная классификация кариозных поражений по локализации (по Блэку)</w:t>
      </w:r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Алгоритм обработки кариозной полости 4.7 зуба перед реставрацией должен включать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вскрытие полости зуба с сохранением нависающих краёв эмали; наложение лечебной прокладки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раскрытие полости зуба; расширение полости зуба; формирование ровного плоского дна полости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раскрытие кариозной полости; удаление размягчённого и пигментированного дентина; формирование полости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частичное удаление старой реставрации; раскрытие полости зуба; формирование трапециевидной формы полости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раскрытие кариозной полости; удаление размягчённого и пигментированного дентина; формирование полости</w:t>
      </w:r>
    </w:p>
    <w:p>
      <w:pPr>
        <w:ind w:left="504"/>
      </w:pPr>
      <w:r>
        <w:rPr>
          <w:b w:val="0"/>
          <w:i/>
        </w:rPr>
        <w:t>Лечение кариеса независимо от локализации кариозной полости включает: премедикацию (при необходимости), обезболивание, раскрытие кариозной полости, удаление размягчённого и пигментированного дентина, формирование полости, финирование, промывание и пломбирование полости (по показаниям) или протезирование вкладками, коронками или винирами.</w:t>
        <w:br/>
        <w:br/>
      </w:r>
      <w:hyperlink r:id="rId9">
        <w:r>
          <w:rPr>
            <w:color w:val="0F766E"/>
            <w:u w:val="single"/>
          </w:rPr>
          <w:t>Клинические рекомендации (протоколы лечения) Совета Ассоциации общественных объединений «Стоматологическая Ассоциация России». Кариес зубов, 2018 г.</w:t>
        </w:r>
      </w:hyperlink>
      <w:r>
        <w:rPr>
          <w:b w:val="0"/>
          <w:i/>
        </w:rPr>
        <w:br/>
        <w:br/>
      </w:r>
      <w:hyperlink r:id="rId15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п.6.2.6 Характеристика алгоритмов и особенностей выполнения немедикаментозной помощи</w:t>
      </w:r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При лечении кариеса дентина показанием к изготовлению непрямых реставраций является индекс разрушения окклюзионной поверхности зуба (ИРОПЗ) более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0,4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0,6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0,7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0,5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0,4</w:t>
      </w:r>
    </w:p>
    <w:p>
      <w:pPr>
        <w:ind w:left="504"/>
      </w:pPr>
      <w:r>
        <w:rPr>
          <w:b w:val="0"/>
          <w:i/>
        </w:rPr>
        <w:t>Для группы жевательных ИРОПЗ &gt; 0,4 показано изготовление вкладок, ИРОПЗ &gt; 0,6  показано изготовление искусственных коронок, ИРОПЗ &gt; 0,8 показано применение штифтовых конструкций с последующим изготовлением коронок.</w:t>
        <w:br/>
        <w:br/>
      </w:r>
      <w:hyperlink r:id="rId9">
        <w:r>
          <w:rPr>
            <w:color w:val="0F766E"/>
            <w:u w:val="single"/>
          </w:rPr>
          <w:t>Клинические рекомендации (протоколы лечения) Совета Ассоциации общественных объединений «Стоматологическая Ассоциация России». Кариес зубов, 2018 г.</w:t>
        </w:r>
      </w:hyperlink>
      <w:r>
        <w:rPr>
          <w:b w:val="0"/>
          <w:i/>
        </w:rPr>
        <w:br/>
        <w:br/>
      </w:r>
      <w:hyperlink r:id="rId16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п.6.2.6. Характеристика алгоритмов и особенностей выполнения немедикаментозной помощи</w:t>
      </w:r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Одной из основных целей лечения кариеса дентина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нормализация окклюзии зубных рядов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восстановление формы и функции зуба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активация функции остеобластов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купирование болевого синдрома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восстановление формы и функции зуба</w:t>
      </w:r>
    </w:p>
    <w:p>
      <w:pPr>
        <w:ind w:left="504"/>
      </w:pPr>
      <w:r>
        <w:rPr>
          <w:b w:val="0"/>
          <w:i/>
        </w:rPr>
        <w:t>Основные цели лечения кариеса дентина: остановка патологического процесса, восстановление анатомической формы и функции зуба, предупреждение развития осложнений, восстановление эстетики зубного ряда.</w:t>
        <w:br/>
        <w:br/>
      </w:r>
      <w:hyperlink r:id="rId9">
        <w:r>
          <w:rPr>
            <w:color w:val="0F766E"/>
            <w:u w:val="single"/>
          </w:rPr>
          <w:t>Клинические рекомендации (протоколы лечения) Совета Ассоциации общественных объединений «Стоматологическая Ассоциация России». Кариес зубов, 2018 г.</w:t>
        </w:r>
      </w:hyperlink>
      <w:r>
        <w:rPr>
          <w:b w:val="0"/>
          <w:i/>
        </w:rPr>
        <w:br/>
        <w:br/>
      </w:r>
      <w:hyperlink r:id="rId17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п.6.2.6. Характеристика алгоритмов и особенностей выполнения немедикаментозной помощи</w:t>
      </w:r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Особенность препарирования кариозной полости II класса перед реставрацией композиционными материалами заключается 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создании дополнительной площадки с язычной поверхности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определении вида доступа перед началом препарирования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проверке качества препарирования раствором Шиллера – Писарева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создании ящикообразной формы препарируемой полости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определении вида доступа перед началом препарирования</w:t>
      </w:r>
    </w:p>
    <w:p>
      <w:pPr>
        <w:ind w:left="504"/>
      </w:pPr>
      <w:r>
        <w:rPr>
          <w:b w:val="0"/>
          <w:i/>
        </w:rPr>
        <w:t>При пломбировании композитными материалами допускается щадящее препарирование полостей (уровень убедительности доказательств В). Полости класса II: Перед началом препарирования определяют виды доступа. Проводят формирование полости. Проверяют качество удаления поражённых тканей с помощью зонда и детектора кариеса.</w:t>
        <w:br/>
        <w:br/>
      </w:r>
      <w:hyperlink r:id="rId9">
        <w:r>
          <w:rPr>
            <w:color w:val="0F766E"/>
            <w:u w:val="single"/>
          </w:rPr>
          <w:t>Клинические рекомендации (протоколы лечения) Совета Ассоциации общественных объединений «Стоматологическая Ассоциация России». Кариес зубов, 2018 г.</w:t>
        </w:r>
      </w:hyperlink>
      <w:r>
        <w:rPr>
          <w:b w:val="0"/>
          <w:i/>
        </w:rPr>
        <w:br/>
        <w:br/>
      </w:r>
      <w:hyperlink r:id="rId18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п.6.2.6. Характеристика алгоритмов и особенностей выполнения немедикаментозной помощи</w:t>
      </w:r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При пломбировании кариозной полости II класса композитным материалом для формирования ската краевого гребня в процессе обработки используют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штопфер-гладилки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триммер десневого края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матрицу для пришеечных полостей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абразивную полоску или диск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абразивную полоску или диск</w:t>
      </w:r>
    </w:p>
    <w:p>
      <w:pPr>
        <w:ind w:left="504"/>
      </w:pPr>
      <w:r>
        <w:rPr>
          <w:b w:val="0"/>
          <w:i/>
        </w:rPr>
        <w:t>При пломбировании кариозной полости II класса формирование контактного ската краевого гребня осуществляется с помощью абразивных полосок (штрипсов) или дисков. Наличие ската краевого гребня предотвращает сколы материала в этой области и застревание пищи.</w:t>
        <w:br/>
        <w:br/>
      </w:r>
      <w:hyperlink r:id="rId9">
        <w:r>
          <w:rPr>
            <w:color w:val="0F766E"/>
            <w:u w:val="single"/>
          </w:rPr>
          <w:t>Клинические рекомендации (протоколы лечения) Совета Ассоциации общественных объединений «Стоматологическая Ассоциация России». Кариес зубов, 2018 г.</w:t>
        </w:r>
      </w:hyperlink>
      <w:r>
        <w:rPr>
          <w:b w:val="0"/>
          <w:i/>
        </w:rPr>
        <w:br/>
        <w:br/>
      </w:r>
      <w:hyperlink r:id="rId19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п. 6.2.6. Раздел «Особенности препарирования и пломбирования полостей»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При данном диагнозе к обязательному методу обследования относят определение индекса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Фёдорова – Володкиной (гигиены полости рта)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PMA (папилярно-маргинально-альвеолярный)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OHI-S (гигиены полости рта упрощённый)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CPITN (коммунальный пародонтальный нуждаемости в лечении)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OHI-S (гигиены полости рта упрощённый)</w:t>
      </w:r>
    </w:p>
    <w:p>
      <w:pPr>
        <w:ind w:left="504"/>
      </w:pPr>
      <w:r>
        <w:rPr>
          <w:b w:val="0"/>
          <w:i/>
        </w:rPr>
        <w:t>Врач-стоматолог или гигиенист стоматологический определяет гигиенический индекс, затем демонстрирует пациенту технику чистки зубов зубной щёткой и зубными нитями, используя модели зубных рядов, или другие демонстрационные средства.</w:t>
        <w:br/>
        <w:br/>
        <w:t>Требования к диагностике амбулаторно-поликлинической: Определение индексов гигиены полости рта (код услуги - А12.07.003); кратность выполнения – 1.</w:t>
        <w:br/>
        <w:br/>
      </w:r>
      <w:hyperlink r:id="rId9">
        <w:r>
          <w:rPr>
            <w:color w:val="0F766E"/>
            <w:u w:val="single"/>
          </w:rPr>
          <w:t>Клинические рекомендации (протоколы лечения) Совета Ассоциации общественных объединений «Стоматологическая Ассоциация России». Кариес зубов, 2018 г.</w:t>
        </w:r>
      </w:hyperlink>
      <w:r>
        <w:rPr>
          <w:b w:val="0"/>
          <w:i/>
        </w:rPr>
        <w:br/>
        <w:br/>
      </w:r>
      <w:hyperlink r:id="rId20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п.6.2.3. Требования к диагностике амбулаторно-поликлинической»; п.6.2.6. Характеристика алгоритмов и особенностей выполнения немедикаментозной помощи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В данной клинической ситуации к критерию наступления исхода лечения «Развитие нового заболевания, связанного с основным»,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хронический периодонтит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рецидив кариеса или его прогрессирование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хроническую травму десны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аллергическую реакцию на анестетик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рецидив кариеса или его прогрессирование</w:t>
      </w:r>
    </w:p>
    <w:p>
      <w:pPr>
        <w:ind w:left="504"/>
      </w:pPr>
      <w:r>
        <w:rPr>
          <w:b w:val="0"/>
          <w:i/>
        </w:rPr>
        <w:t>Критерием наступления исхода лечения «Развитие нового заболевания, связанного с основным» является рецидив кариеса или его прогрессирование. Ориентировочное время достижения исхода – через 6 мес. после окончания лечения при отсутствии динамического наблюдения.</w:t>
        <w:br/>
        <w:br/>
      </w:r>
      <w:hyperlink r:id="rId9">
        <w:r>
          <w:rPr>
            <w:color w:val="0F766E"/>
            <w:u w:val="single"/>
          </w:rPr>
          <w:t>Клинические рекомендации (протоколы лечения) Совета Ассоциации общественных объединений «Стоматологическая Ассоциация России». Кариес зубов, 2018 г.</w:t>
        </w:r>
      </w:hyperlink>
      <w:r>
        <w:rPr>
          <w:b w:val="0"/>
          <w:i/>
        </w:rPr>
        <w:br/>
        <w:br/>
      </w:r>
      <w:hyperlink r:id="rId21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п. 6.2.15. Возможные исходы и их характеристики</w:t>
      </w:r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Рекомендуемая периодичность осмотров и проведения профессиональной гигиены полости рта составляет один раз в +_____+ месяцев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10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6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12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9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6</w:t>
      </w:r>
    </w:p>
    <w:p>
      <w:pPr>
        <w:ind w:left="504"/>
      </w:pPr>
      <w:r>
        <w:rPr>
          <w:b w:val="0"/>
          <w:i/>
        </w:rPr>
        <w:t>Пациенты должны посещать специалиста один раз в полгода для наблюдения.</w:t>
        <w:br/>
        <w:t>Пациенту рекомендуют являться на прием к врачу-стоматологу минимум один раз в полгода для проведения профилактических осмотров, гигиенических мероприятий.</w:t>
        <w:br/>
        <w:br/>
      </w:r>
      <w:hyperlink r:id="rId9">
        <w:r>
          <w:rPr>
            <w:color w:val="0F766E"/>
            <w:u w:val="single"/>
          </w:rPr>
          <w:t>Клинические рекомендации (протоколы лечения) Совета Ассоциации общественных объединений «Стоматологическая Ассоциация России». Кариес зубов, 2018 г.</w:t>
        </w:r>
      </w:hyperlink>
      <w:r>
        <w:rPr>
          <w:b w:val="0"/>
          <w:i/>
        </w:rPr>
        <w:br/>
        <w:br/>
      </w:r>
      <w:hyperlink r:id="rId22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п.6.2.9. Требования к режиму труда, отдыха, лечения и реабилитации, п.6.2.10. Требования к уходу за пациентом и вспомогательным процедурам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4_karies_8aug2018/index.html" TargetMode="External"/><Relationship Id="rId10" Type="http://schemas.openxmlformats.org/officeDocument/2006/relationships/hyperlink" Target="https://library.mededtech.ru/rest/documents/4_karies_8aug2018/index.html#paragraph_4vskd" TargetMode="External"/><Relationship Id="rId11" Type="http://schemas.openxmlformats.org/officeDocument/2006/relationships/hyperlink" Target="https://library.mededtech.ru/rest/documents/4_karies_8aug2018/index.html#paragraph_9suib" TargetMode="External"/><Relationship Id="rId12" Type="http://schemas.openxmlformats.org/officeDocument/2006/relationships/hyperlink" Target="https://library.mededtech.ru/rest/documents/4_karies_8aug2018/index.html#paragraph_sggg8" TargetMode="External"/><Relationship Id="rId13" Type="http://schemas.openxmlformats.org/officeDocument/2006/relationships/hyperlink" Target="https://library.mededtech.ru/rest/documents/4_karies_8aug2018/index.html#6_2_&#1084;&#1086;&#1076;&#1077;&#1083;&#1100;_&#1087;&#1072;&#1094;&#1080;&#1077;&#1085;&#1090;&#1072;" TargetMode="External"/><Relationship Id="rId14" Type="http://schemas.openxmlformats.org/officeDocument/2006/relationships/hyperlink" Target="https://library.mededtech.ru/rest/documents/4_karies_8aug2018/index.html#paragraph_351en" TargetMode="External"/><Relationship Id="rId15" Type="http://schemas.openxmlformats.org/officeDocument/2006/relationships/hyperlink" Target="https://library.mededtech.ru/rest/documents/4_karies_8aug2018/index.html#paragraph_jb6a7" TargetMode="External"/><Relationship Id="rId16" Type="http://schemas.openxmlformats.org/officeDocument/2006/relationships/hyperlink" Target="https://library.mededtech.ru/rest/documents/4_karies_8aug2018/index.html#list_item_2ksfu" TargetMode="External"/><Relationship Id="rId17" Type="http://schemas.openxmlformats.org/officeDocument/2006/relationships/hyperlink" Target="https://library.mededtech.ru/rest/documents/4_karies_8aug2018/index.html#paragraph_5f1ma" TargetMode="External"/><Relationship Id="rId18" Type="http://schemas.openxmlformats.org/officeDocument/2006/relationships/hyperlink" Target="https://library.mededtech.ru/rest/documents/4_karies_8aug2018/index.html#paragraph_v2inv" TargetMode="External"/><Relationship Id="rId19" Type="http://schemas.openxmlformats.org/officeDocument/2006/relationships/hyperlink" Target="https://library.mededtech.ru/rest/documents/4_karies_8aug2018/index.html#paragraph_cbuf2" TargetMode="External"/><Relationship Id="rId20" Type="http://schemas.openxmlformats.org/officeDocument/2006/relationships/hyperlink" Target="https://library.mededtech.ru/rest/documents/4_karies_8aug2018/index.html#paragraph_5psvp" TargetMode="External"/><Relationship Id="rId21" Type="http://schemas.openxmlformats.org/officeDocument/2006/relationships/hyperlink" Target="https://library.mededtech.ru/rest/documents/4_karies_8aug2018/index.html#6_1_15_&#1074;&#1086;&#1079;&#1084;&#1086;&#1078;&#1085;&#1099;&#1077;_&#1080;&#1089;&#1093;&#1086;&#1076;&#1099;_&#1080;_&#1080;&#1093;_&#1093;&#1072;&#1088;&#1072;&#1082;&#1090;&#1077;&#1088;&#1080;&#1089;&#1090;&#1080;&#1082;&#1080;" TargetMode="External"/><Relationship Id="rId22" Type="http://schemas.openxmlformats.org/officeDocument/2006/relationships/hyperlink" Target="https://library.mededtech.ru/rest/documents/4_karies_8aug2018/index.html#paragraph_481i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